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  <w:lang w:val="el-GR"/>
        </w:rPr>
      </w:pPr>
      <w:r>
        <w:rPr>
          <w:b/>
          <w:bCs/>
          <w:sz w:val="36"/>
          <w:szCs w:val="36"/>
          <w:highlight w:val="none"/>
          <w:lang w:val="el-GR"/>
        </w:rPr>
      </w:r>
      <w:r>
        <w:rPr>
          <w:b/>
          <w:bCs/>
          <w:sz w:val="36"/>
          <w:szCs w:val="36"/>
          <w:highlight w:val="none"/>
          <w:lang w:val="el-G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97695" cy="169769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697694" cy="1697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3.7pt;height:133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sz w:val="36"/>
          <w:szCs w:val="36"/>
          <w:highlight w:val="none"/>
          <w:lang w:val="el-GR"/>
        </w:rPr>
      </w:r>
      <w:r/>
    </w:p>
    <w:p>
      <w:pPr>
        <w:jc w:val="center"/>
        <w:rPr>
          <w:b/>
          <w:bCs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lang w:val="el-GR"/>
        </w:rPr>
      </w:r>
      <w:r>
        <w:rPr>
          <w:b/>
          <w:bCs/>
          <w:sz w:val="32"/>
          <w:szCs w:val="36"/>
          <w:lang w:val="el-GR"/>
        </w:rPr>
        <w:t xml:space="preserve">Σύλλογος</w:t>
      </w:r>
      <w:r>
        <w:rPr>
          <w:b/>
          <w:bCs/>
          <w:sz w:val="32"/>
          <w:szCs w:val="36"/>
          <w:lang w:val="el-GR"/>
        </w:rPr>
        <w:t xml:space="preserve"> Ελλήνων και Φιλελλήνων της Περιοχής </w:t>
      </w:r>
      <w:r>
        <w:rPr>
          <w:b/>
          <w:bCs/>
          <w:sz w:val="32"/>
          <w:szCs w:val="36"/>
          <w:lang w:val="fr-CH"/>
        </w:rPr>
        <w:t xml:space="preserve">L</w:t>
      </w:r>
      <w:r>
        <w:rPr>
          <w:b/>
          <w:bCs/>
          <w:sz w:val="32"/>
          <w:szCs w:val="36"/>
          <w:lang w:val="fr-CH"/>
        </w:rPr>
        <w:t xml:space="preserve">a</w:t>
      </w:r>
      <w:r>
        <w:rPr>
          <w:b/>
          <w:bCs/>
          <w:sz w:val="32"/>
          <w:szCs w:val="36"/>
          <w:lang w:val="el-GR"/>
        </w:rPr>
        <w:t xml:space="preserve"> </w:t>
      </w:r>
      <w:r>
        <w:rPr>
          <w:b/>
          <w:bCs/>
          <w:sz w:val="32"/>
          <w:szCs w:val="36"/>
          <w:lang w:val="fr-CH"/>
        </w:rPr>
        <w:t xml:space="preserve">C</w:t>
      </w:r>
      <w:r>
        <w:rPr>
          <w:b/>
          <w:bCs/>
          <w:sz w:val="32"/>
          <w:szCs w:val="36"/>
          <w:lang w:val="el-GR"/>
        </w:rPr>
        <w:t xml:space="preserve">ô</w:t>
      </w:r>
      <w:r>
        <w:rPr>
          <w:b/>
          <w:bCs/>
          <w:sz w:val="32"/>
          <w:szCs w:val="36"/>
          <w:lang w:val="fr-CH"/>
        </w:rPr>
        <w:t xml:space="preserve">te</w:t>
      </w:r>
      <w:r>
        <w:rPr>
          <w:b/>
          <w:bCs/>
          <w:sz w:val="32"/>
          <w:szCs w:val="36"/>
          <w:lang w:val="el-GR"/>
        </w:rPr>
        <w:t xml:space="preserve"> </w:t>
      </w:r>
      <w:r>
        <w:rPr>
          <w:b/>
          <w:bCs/>
          <w:sz w:val="32"/>
          <w:szCs w:val="36"/>
          <w:lang w:val="el-GR"/>
        </w:rPr>
        <w:t xml:space="preserve">«</w:t>
      </w:r>
      <w:r>
        <w:rPr>
          <w:b/>
          <w:bCs/>
          <w:sz w:val="32"/>
          <w:szCs w:val="36"/>
          <w:lang w:val="el-GR"/>
        </w:rPr>
        <w:t xml:space="preserve">Η Ακτή</w:t>
      </w:r>
      <w:r>
        <w:rPr>
          <w:b/>
          <w:bCs/>
          <w:sz w:val="32"/>
          <w:szCs w:val="36"/>
          <w:lang w:val="el-GR"/>
        </w:rPr>
        <w:t xml:space="preserve">»</w:t>
      </w:r>
      <w:r>
        <w:rPr>
          <w:sz w:val="20"/>
        </w:rPr>
      </w:r>
      <w:r/>
    </w:p>
    <w:p>
      <w:pPr>
        <w:jc w:val="center"/>
        <w:rPr>
          <w:b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highlight w:val="none"/>
          <w:lang w:val="el-GR"/>
        </w:rPr>
        <w:t xml:space="preserve">Τακτική Γενική Συνέλευση 2021</w:t>
      </w:r>
      <w:r>
        <w:rPr>
          <w:b/>
          <w:bCs/>
          <w:sz w:val="32"/>
          <w:szCs w:val="36"/>
          <w:highlight w:val="none"/>
          <w:lang w:val="el-GR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spacing w:lineRule="auto" w:line="276" w:after="240"/>
        <w:rPr>
          <w:b/>
          <w:bCs/>
          <w:sz w:val="28"/>
          <w:szCs w:val="24"/>
          <w:highlight w:val="none"/>
          <w:u w:val="single"/>
        </w:rPr>
      </w:pPr>
      <w:r>
        <w:rPr>
          <w:b/>
          <w:bCs/>
          <w:sz w:val="28"/>
          <w:szCs w:val="24"/>
          <w:u w:val="single"/>
          <w:lang w:val="el-GR"/>
        </w:rPr>
        <w:t xml:space="preserve">Προτάσεις του Δ.Σ. για αλλαγές στο Καταστατικό</w:t>
      </w:r>
      <w:r>
        <w:rPr>
          <w:u w:val="single"/>
        </w:rPr>
      </w:r>
    </w:p>
    <w:p>
      <w:pPr>
        <w:spacing w:lineRule="auto" w:line="276" w:after="240"/>
        <w:rPr>
          <w:b/>
          <w:sz w:val="28"/>
          <w:szCs w:val="24"/>
          <w:lang w:val="el-GR"/>
        </w:rPr>
      </w:pPr>
      <w:r>
        <w:rPr>
          <w:b/>
          <w:bCs/>
          <w:sz w:val="28"/>
          <w:szCs w:val="24"/>
          <w:highlight w:val="none"/>
          <w:lang w:val="el-GR"/>
        </w:rPr>
      </w:r>
      <w:r>
        <w:rPr>
          <w:b/>
          <w:bCs/>
          <w:sz w:val="28"/>
          <w:szCs w:val="24"/>
          <w:highlight w:val="none"/>
          <w:lang w:val="el-GR"/>
        </w:rPr>
      </w:r>
    </w:p>
    <w:p>
      <w:pPr>
        <w:jc w:val="both"/>
        <w:spacing w:lineRule="auto" w:line="276" w:after="0" w:afterAutospacing="0"/>
        <w:rPr>
          <w:b/>
          <w:sz w:val="24"/>
          <w:szCs w:val="24"/>
          <w:lang w:val="el-GR"/>
        </w:rPr>
      </w:pPr>
      <w:r>
        <w:rPr>
          <w:b/>
          <w:bCs/>
          <w:sz w:val="28"/>
          <w:szCs w:val="24"/>
          <w:lang w:val="el-GR"/>
        </w:rPr>
      </w:r>
      <w:r>
        <w:rPr>
          <w:b/>
          <w:lang w:val="el-GR"/>
        </w:rPr>
        <w:t xml:space="preserve">1. Άρθρο 10γ - Αναγκαία απαρτία για διεξαγωγή Γενικής Συνέλευσης</w:t>
      </w:r>
      <w:r/>
    </w:p>
    <w:p>
      <w:pPr>
        <w:jc w:val="both"/>
        <w:spacing w:lineRule="auto" w:line="276" w:after="240"/>
        <w:rPr>
          <w:sz w:val="24"/>
          <w:szCs w:val="24"/>
          <w:highlight w:val="none"/>
          <w:lang w:val="el-GR"/>
        </w:rPr>
      </w:pPr>
      <w:r>
        <w:rPr>
          <w:b/>
          <w:lang w:val="el-GR"/>
        </w:rPr>
      </w:r>
      <w:r>
        <w:rPr>
          <w:highlight w:val="none"/>
          <w:lang w:val="el-GR"/>
        </w:rPr>
        <w:t xml:space="preserve">Κατόπιν προτροπής του νομικού συμβουλίου της Nyon, το Δ.Σ. προτείνει τη μείωση της απαιτούμενης απαρτίας για τη διεξαγωγή (τακτικής ή έκτακτης) Γενικής Συνέλευσης από 50% σε 20% των μελών.</w:t>
      </w:r>
      <w:r>
        <w:rPr>
          <w:lang w:val="el-GR"/>
        </w:rPr>
      </w:r>
      <w:r/>
    </w:p>
    <w:p>
      <w:pPr>
        <w:jc w:val="both"/>
        <w:spacing w:lineRule="auto" w:line="276" w:after="240"/>
        <w:rPr>
          <w:b/>
          <w:sz w:val="24"/>
          <w:szCs w:val="24"/>
          <w:lang w:val="el-GR"/>
        </w:rPr>
      </w:pPr>
      <w:r>
        <w:rPr>
          <w:highlight w:val="none"/>
          <w:lang w:val="el-GR"/>
        </w:rPr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0"/>
        <w:rPr>
          <w:b/>
          <w:highlight w:val="none"/>
          <w:lang w:val="el-GR"/>
        </w:rPr>
      </w:pPr>
      <w:r>
        <w:rPr>
          <w:b/>
          <w:highlight w:val="none"/>
          <w:lang w:val="el-GR"/>
        </w:rPr>
        <w:t xml:space="preserve">2. Άρθρο 11 - Ελάχιστος αριθμός μελών και διάρκεια θητείας Δ.Σ.</w:t>
      </w:r>
      <w:r>
        <w:rPr>
          <w:b w:val="false"/>
          <w:highlight w:val="none"/>
          <w:lang w:val="el-GR"/>
        </w:rPr>
      </w:r>
      <w:r/>
    </w:p>
    <w:p>
      <w:pPr>
        <w:jc w:val="both"/>
        <w:spacing w:lineRule="auto" w:line="276" w:after="0"/>
        <w:rPr>
          <w:b w:val="false"/>
          <w:highlight w:val="none"/>
          <w:lang w:val="el-GR"/>
        </w:rPr>
      </w:pPr>
      <w:r>
        <w:rPr>
          <w:b/>
          <w:highlight w:val="none"/>
          <w:lang w:val="el-GR"/>
        </w:rPr>
      </w:r>
      <w:r>
        <w:rPr>
          <w:b w:val="false"/>
          <w:highlight w:val="none"/>
          <w:lang w:val="el-GR"/>
        </w:rPr>
        <w:t xml:space="preserve">Το νομικό συμβούλιο της Nyon πιστεύει ότι ο ελάχιστος </w:t>
      </w:r>
      <w:r>
        <w:rPr>
          <w:b w:val="false"/>
          <w:highlight w:val="none"/>
          <w:lang w:val="el-GR"/>
        </w:rPr>
        <w:t xml:space="preserve">αριθμός των 5 ατόμων για το Δ.Σ. είναι αρκετά δεσμευτικός, καθώς τυχόν ταυτόχρονη παραίτηση μερικών μελών του Δ.Σ. μπορεί να οδηγήσει σε έκτακτη Γενική Συνέλευση (κάτι που γενικά συνεπάγεται αρκετή γραφειοκρατία). </w:t>
      </w:r>
      <w:r/>
    </w:p>
    <w:p>
      <w:pPr>
        <w:jc w:val="both"/>
        <w:spacing w:lineRule="auto" w:line="276" w:after="0"/>
        <w:rPr>
          <w:b/>
          <w:highlight w:val="none"/>
          <w:lang w:val="el-GR"/>
        </w:rPr>
      </w:pPr>
      <w:r>
        <w:rPr>
          <w:b w:val="false"/>
          <w:highlight w:val="none"/>
          <w:lang w:val="el-GR"/>
        </w:rPr>
        <w:t xml:space="preserve">Το Δ.Σ. πιστεύει ότι, τη δεδομένη χρονική στιγμή, αυτός ο περιορισμός δε δημιουργεί κάποιο </w:t>
      </w:r>
      <w:r>
        <w:rPr>
          <w:b w:val="false"/>
          <w:highlight w:val="none"/>
          <w:lang w:val="el-GR"/>
        </w:rPr>
        <w:t xml:space="preserve">ουσι</w:t>
      </w:r>
      <w:r>
        <w:rPr>
          <w:b w:val="false"/>
          <w:highlight w:val="none"/>
          <w:lang w:val="el-GR"/>
        </w:rPr>
        <w:t xml:space="preserve">αστικό πρόβλημα στη λειτουργία του Συλλόγου μας. Αντί αυτού, το Δ.Σ. προτείνει την αλλαγή της διάρκειας της θητείας του Δ.Σ. από 2 χρόνια σε 1 χρόνο. Μια τέτοια αλλαγή μειώνει το ρίσκο της παραίτησης ενός μέλους του Δ.Σ., καθώς ο χρονικός ορίζοντας</w:t>
      </w:r>
      <w:r>
        <w:rPr>
          <w:b w:val="false"/>
          <w:highlight w:val="none"/>
          <w:lang w:val="el-GR"/>
        </w:rPr>
        <w:t xml:space="preserve"> της δέσμευσης πο</w:t>
      </w:r>
      <w:r>
        <w:rPr>
          <w:b w:val="false"/>
          <w:highlight w:val="none"/>
          <w:lang w:val="el-GR"/>
        </w:rPr>
        <w:t xml:space="preserve">υ συνεπάγεται η συμμετοχή στο Δ.Σ. είναι σημαντικά μικρότερος. Η εμπειρία των τελευταίων 15 μηνών και οι ιδιαίτερα ευμετάβλητες συνθήκες της περιόδου που διανύουμε μας έδειξαν στην πράξη ότι το διάστημα των δύο ετών είναι αρκετά μεγάλο και δεσμευτικό.</w:t>
      </w:r>
      <w:r>
        <w:rPr>
          <w:b/>
          <w:highlight w:val="none"/>
          <w:lang w:val="el-GR"/>
        </w:rPr>
        <w:t xml:space="preserve"> </w:t>
      </w:r>
      <w:r>
        <w:rPr>
          <w:b/>
          <w:highlight w:val="none"/>
          <w:lang w:val="el-GR"/>
        </w:rPr>
      </w:r>
      <w:r/>
    </w:p>
    <w:p>
      <w:pPr>
        <w:jc w:val="both"/>
        <w:spacing w:lineRule="auto" w:line="276" w:after="0"/>
        <w:rPr>
          <w:b/>
          <w:highlight w:val="none"/>
          <w:lang w:val="el-GR"/>
        </w:rPr>
      </w:pPr>
      <w:r>
        <w:rPr>
          <w:b/>
          <w:highlight w:val="none"/>
          <w:lang w:val="el-GR"/>
        </w:rPr>
      </w:r>
      <w:r>
        <w:rPr>
          <w:b/>
          <w:highlight w:val="none"/>
          <w:lang w:val="el-GR"/>
        </w:rPr>
      </w:r>
      <w:r/>
    </w:p>
    <w:p>
      <w:pPr>
        <w:jc w:val="both"/>
        <w:spacing w:lineRule="auto" w:line="276" w:after="0"/>
        <w:rPr>
          <w:b w:val="false"/>
        </w:rPr>
      </w:pPr>
      <w:r>
        <w:rPr>
          <w:b w:val="false"/>
        </w:rPr>
      </w:r>
      <w:r>
        <w:rPr>
          <w:b w:val="false"/>
        </w:rPr>
      </w:r>
      <w:r/>
    </w:p>
    <w:p>
      <w:pPr>
        <w:jc w:val="both"/>
        <w:spacing w:lineRule="auto" w:line="276" w:after="0"/>
        <w:rPr>
          <w:b/>
          <w:highlight w:val="none"/>
          <w:lang w:val="el-GR"/>
        </w:rPr>
      </w:pPr>
      <w:r>
        <w:rPr>
          <w:b/>
          <w:highlight w:val="none"/>
          <w:lang w:val="el-GR"/>
        </w:rPr>
        <w:t xml:space="preserve">3. Άρθρο 19 - Δικαιοδοσία</w:t>
      </w:r>
      <w:r>
        <w:rPr>
          <w:b/>
        </w:rPr>
      </w:r>
      <w:r/>
    </w:p>
    <w:p>
      <w:pPr>
        <w:jc w:val="both"/>
        <w:spacing w:lineRule="auto" w:line="276" w:after="0"/>
        <w:rPr>
          <w:b w:val="false"/>
          <w:highlight w:val="none"/>
          <w:lang w:val="el-GR"/>
        </w:rPr>
      </w:pPr>
      <w:r>
        <w:rPr>
          <w:b w:val="false"/>
          <w:highlight w:val="none"/>
          <w:lang w:val="el-GR"/>
        </w:rPr>
        <w:t xml:space="preserve">Τυχόν διαφορές που δεν μπορούν να επιλυθούν στα πλαίσια της Γ.Σ. εμπίπτουν στη δικαιοδοσία των δικαστηρίων της Nyon και ισχύει το ελβετικό δίκαιο.</w:t>
      </w:r>
      <w:r>
        <w:rPr>
          <w:b w:val="false"/>
        </w:rPr>
      </w:r>
      <w:r/>
    </w:p>
    <w:p>
      <w:pPr>
        <w:jc w:val="both"/>
        <w:spacing w:lineRule="auto" w:line="276" w:after="0"/>
        <w:rPr>
          <w:b w:val="false"/>
        </w:rPr>
      </w:pPr>
      <w:r>
        <w:rPr>
          <w:b w:val="false"/>
          <w:highlight w:val="none"/>
          <w:u w:val="single"/>
          <w:lang w:val="el-GR"/>
        </w:rPr>
        <w:t xml:space="preserve">Σχόλιο:</w:t>
      </w:r>
      <w:r>
        <w:rPr>
          <w:b w:val="false"/>
          <w:highlight w:val="none"/>
          <w:lang w:val="el-GR"/>
        </w:rPr>
        <w:t xml:space="preserve"> στην τωρινή μορφή του καταστατικού γίνεται λανθασμένα αναφορά στα δικαστήρια της Λωζάνης ή/και στο ομοσπονδιακό δικαστήριο της Ελβετίας. Αυτή η αλλαγή ζητήθηκε από το νομικό συμβούλιο της Nyon.</w:t>
      </w:r>
      <w:r>
        <w:rPr>
          <w:b w:val="false"/>
          <w:highlight w:val="none"/>
          <w:lang w:val="el-GR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4"/>
    <w:next w:val="834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6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6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6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6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6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6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4"/>
    <w:next w:val="834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6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6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6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6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6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paragraph" w:styleId="835">
    <w:name w:val="Heading 3"/>
    <w:basedOn w:val="834"/>
    <w:link w:val="839"/>
    <w:qFormat/>
    <w:uiPriority w:val="9"/>
    <w:rPr>
      <w:rFonts w:ascii="Times New Roman" w:hAnsi="Times New Roman" w:cs="Times New Roman" w:eastAsia="Times New Roman"/>
      <w:b/>
      <w:bCs/>
      <w:sz w:val="27"/>
      <w:szCs w:val="27"/>
    </w:rPr>
    <w:pPr>
      <w:spacing w:lineRule="auto" w:line="240" w:after="100" w:afterAutospacing="1" w:before="100" w:beforeAutospacing="1"/>
      <w:outlineLvl w:val="2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Heading 3 Char"/>
    <w:basedOn w:val="836"/>
    <w:link w:val="835"/>
    <w:uiPriority w:val="9"/>
    <w:rPr>
      <w:rFonts w:ascii="Times New Roman" w:hAnsi="Times New Roman" w:cs="Times New Roman" w:eastAsia="Times New Roman"/>
      <w:b/>
      <w:bCs/>
      <w:sz w:val="27"/>
      <w:szCs w:val="27"/>
    </w:rPr>
  </w:style>
  <w:style w:type="paragraph" w:styleId="840">
    <w:name w:val="Normal (Web)"/>
    <w:basedOn w:val="83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41">
    <w:name w:val="Hyperlink"/>
    <w:basedOn w:val="836"/>
    <w:uiPriority w:val="99"/>
    <w:semiHidden/>
    <w:unhideWhenUsed/>
    <w:rPr>
      <w:color w:val="0000FF"/>
      <w:u w:val="single"/>
    </w:rPr>
  </w:style>
  <w:style w:type="paragraph" w:styleId="842">
    <w:name w:val="List Paragraph"/>
    <w:basedOn w:val="834"/>
    <w:qFormat/>
    <w:uiPriority w:val="34"/>
    <w:pPr>
      <w:contextualSpacing w:val="true"/>
      <w:ind w:left="720"/>
    </w:pPr>
  </w:style>
  <w:style w:type="paragraph" w:styleId="843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10</cp:revision>
  <dcterms:created xsi:type="dcterms:W3CDTF">2020-06-30T20:20:00Z</dcterms:created>
  <dcterms:modified xsi:type="dcterms:W3CDTF">2021-09-11T15:14:33Z</dcterms:modified>
</cp:coreProperties>
</file>